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5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3440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bottom w:val="single" w:color="CCCCCC" w:sz="6" w:space="0"/>
            </w:tcBorders>
            <w:shd w:val="clear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b/>
                <w:bCs/>
                <w:sz w:val="33"/>
                <w:szCs w:val="33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6"/>
                <w:szCs w:val="26"/>
              </w:rPr>
              <w:t>New original Integrated Circuits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6"/>
                <w:szCs w:val="26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color w:val="222222"/>
                <w:sz w:val="33"/>
                <w:szCs w:val="33"/>
                <w:bdr w:val="none" w:color="auto" w:sz="0" w:space="0"/>
              </w:rPr>
              <w:t>XC9572XL-10CS48C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222222"/>
                <w:spacing w:val="-2"/>
                <w:kern w:val="0"/>
                <w:sz w:val="18"/>
                <w:szCs w:val="18"/>
                <w:lang w:val="en-US" w:eastAsia="zh-CN" w:bidi="ar"/>
              </w:rPr>
              <w:t>Boyad</w:t>
            </w:r>
            <w:r>
              <w:rPr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222222"/>
                <w:spacing w:val="-2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Part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XC9572XL-10CS48C-ND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"https://www.digikey.cn/zh/supplier-centers/xilinx"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AMD Xilinx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 product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XC9572XL-10CS48C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IC CPLD 72MC 10NS 48CSP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 standard lead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 weeks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Customer Internal Part Number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666666"/>
                <w:kern w:val="0"/>
                <w:sz w:val="21"/>
                <w:szCs w:val="21"/>
                <w:bdr w:val="none" w:color="1A1552" w:sz="6" w:space="0"/>
                <w:shd w:val="clear" w:fill="FFFFFF"/>
                <w:lang w:val="en-US" w:eastAsia="zh-CN" w:bidi="ar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"https://www.xilinx.com/support/documentation/data_sheets/ds057.pdf"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 Specifications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product properties</w:t>
      </w:r>
    </w:p>
    <w:tbl>
      <w:tblPr>
        <w:tblW w:w="11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2"/>
        <w:gridCol w:w="6654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lang w:val="en-US" w:eastAsia="zh-CN" w:bidi="ar"/>
              </w:rPr>
              <w:t>CHOOSE</w:t>
            </w:r>
            <w:r>
              <w:rPr>
                <w:rFonts w:hint="default" w:ascii="Arial" w:hAnsi="Arial" w:eastAsia="Arial" w:cs="Arial"/>
                <w:b/>
                <w:bCs/>
                <w:cap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category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"https://www.digikey.cn/zh/products/category/%E9%9B%86%E6%88%90%E7%94%B5%E8%B7%AF-ic/32"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Integrated Circuit (IC)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"https://www.digikey.cn/zh/products/filter/%E5%B5%8C%E5%85%A5%E5%BC%8F-cpld-%E5%A4%8D%E6%9D%82%E5%8F%AF%E7%BC%96%E7%A8%8B%E9%80%BB%E8%BE%91%E5%99%A8%E4%BB%B6/695"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Embedded - CPLD (Complex Programmable Logic Device)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default" w:ascii="Arial" w:hAnsi="Arial" w:eastAsia="Arial" w:cs="Arial"/>
                <w:b/>
                <w:bCs/>
                <w:color w:val="CC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AMD Xilinx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series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"https://www.digikey.cn/zh/products/result?s=N4IgjCBcoLQCxVAYygMwIYBsDOBTANCAG4B2aWehA9lANrhgDscAHCALqEAOALlCCAC+woA"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XC9500XL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Package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tray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Product Status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 stock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Programmable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In-system programmable (minimum 10,000 program/erase cycles)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Delay time tpd(1) max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10ns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Supply Voltage - Internal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3V ~ 3.6V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Number of logic elements/blocks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number of macrocells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Gate number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I/O count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 temperature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0°C ~ 70°C (TA)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installation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Surface Mount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Package/Enclosure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48-FBGA, CSPBGA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Supplier Device Packaging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48-CSBGA (7x7)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Basic product number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"https://www.digikey.cn/zh/products/base-product/amd-xilinx/122/XC9572/5661"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XC9572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report a bug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New Parametric Search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Media and Downloads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41"/>
        <w:gridCol w:w="9056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RESOURCE TYPE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"https://www.xilinx.com/support/documentation/data_sheets/ds057.pdf"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XC9572XL Datasheet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"https://docs.xilinx.com/v/u/en-US/ds054"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XC9500XL Family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Environmental information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"https://docs.xilinx.com/r/en-US/ds988-kr260-starter-kit/RoHS-Compliance"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Xiliinx RoHS Certificate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"https://docs.xilinx.com/r/deeplink/unresolved?ft:locale=en-US&amp;url=reach-position-statement"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Xilinx REACH211 Cert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HTML Specifications</w:t>
            </w:r>
          </w:p>
        </w:tc>
        <w:tc>
          <w:tcPr>
            <w:tcW w:w="9056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"https://www.digikey.cn/zh/htmldatasheets/production/3601/0/0/1/xc9572xl-10tqg100i.html?site=CN&amp;lang=zh&amp;cur=CNY" \t "https://www.digikey.cn/zh/products/detail/amd-xilinx/XC9572XL-10CS48C/_blank"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XC9572XL Datasheet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Environment and Export Classification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11"/>
        <w:gridCol w:w="8584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ATTRIBUTES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RoHS status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Not RoHS compliant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Moisture Sensitivity Level (MSL)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(168 hours)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REACH status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Non-REACH products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ECCN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EAR99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HTSUS</w:t>
            </w:r>
          </w:p>
        </w:tc>
        <w:tc>
          <w:tcPr>
            <w:tcW w:w="8584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8542.39.0001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MTMwNzIwZDI0YzkxODFlNDRhZTIzOWQ3OGExYjAifQ=="/>
  </w:docVars>
  <w:rsids>
    <w:rsidRoot w:val="00000000"/>
    <w:rsid w:val="561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2022-08-12T03:55:08Z</dcterms:created>
  <dc:creator>admin</dc:creator>
  <cp:lastModifiedBy>admin</cp:lastModifiedBy>
  <dcterms:modified xsi:type="dcterms:W3CDTF">2022-08-12T03:55:36Z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1D2FAA1FEB284BEB9F4D57053913B44B</vt:lpwstr>
  </property>
</Properties>
</file>